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697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  <w:gridCol w:w="3934"/>
      </w:tblGrid>
      <w:tr w:rsidR="007207F2" w:rsidRPr="007207F2" w:rsidTr="00801DD2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07F2" w:rsidRPr="007207F2" w:rsidRDefault="007207F2" w:rsidP="007207F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07F2" w:rsidRPr="007207F2" w:rsidRDefault="007207F2" w:rsidP="007207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207F2" w:rsidRPr="007207F2" w:rsidRDefault="009449AA" w:rsidP="00720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91.6pt;margin-top:-15.3pt;width:174.85pt;height:111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eBoAIAAB4FAAAOAAAAZHJzL2Uyb0RvYy54bWysVM2O0zAQviPxDpbv3fyQdpto09X+UIS0&#10;/EgLD+DaTmPh2MF2mywrDtx5Bd6BAwduvEL3jRg7bSk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" stroked="f">
            <v:textbox>
              <w:txbxContent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РОССИЯ ФЕДЕРАЦИЯЗЫ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АЛТАЙ РЕСПУБЛИКА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ШАБАЛИН АЙМАК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 xml:space="preserve">МУНИЦИПАЛ ТОЗОЛГОЗИ 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 xml:space="preserve">ШЫРГАЙТЫ </w:t>
                  </w:r>
                  <w:r w:rsidRPr="00DB490F">
                    <w:rPr>
                      <w:rFonts w:ascii="Times New Roman" w:hAnsi="Times New Roman"/>
                      <w:b/>
                      <w:lang w:val="en-US"/>
                    </w:rPr>
                    <w:t>J</w:t>
                  </w:r>
                  <w:r w:rsidRPr="00DB490F">
                    <w:rPr>
                      <w:rFonts w:ascii="Times New Roman" w:hAnsi="Times New Roman"/>
                      <w:b/>
                    </w:rPr>
                    <w:t>УРТ ДЕПУТАТТАР СОВЕДИ</w:t>
                  </w:r>
                </w:p>
                <w:p w:rsidR="007207F2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3" o:spid="_x0000_s1026" type="#_x0000_t202" style="position:absolute;left:0;text-align:left;margin-left:-9.15pt;margin-top:-15.3pt;width:198.9pt;height:117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" stroked="f">
            <v:textbox>
              <w:txbxContent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РОССИЙСКАЯ ФЕДЕРАЦИЯ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РЕСПУБЛИКА АЛТАЙ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ШЕБАЛИНСКИЙ РАЙОН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СОВЕТ ДЕПУТАТОВ МУНИЦИПАЛЬНОГО ОБРАЗОВАНИЯ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ШЫРГАЙТИНСКОЕ СЕЛЬСКОЕ</w:t>
                  </w:r>
                </w:p>
                <w:p w:rsidR="007207F2" w:rsidRPr="00DB490F" w:rsidRDefault="007207F2" w:rsidP="007207F2">
                  <w:pPr>
                    <w:pStyle w:val="ab"/>
                    <w:rPr>
                      <w:rFonts w:ascii="Times New Roman" w:hAnsi="Times New Roman"/>
                      <w:b/>
                    </w:rPr>
                  </w:pPr>
                  <w:r w:rsidRPr="00DB490F">
                    <w:rPr>
                      <w:rFonts w:ascii="Times New Roman" w:hAnsi="Times New Roman"/>
                      <w:b/>
                    </w:rPr>
                    <w:t>ПОСЕЛЕНИЕ</w:t>
                  </w:r>
                </w:p>
                <w:p w:rsidR="007207F2" w:rsidRDefault="007207F2" w:rsidP="007207F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207F2" w:rsidRPr="007207F2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7F2" w:rsidRPr="007207F2" w:rsidRDefault="007207F2" w:rsidP="00720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7F2">
        <w:rPr>
          <w:rFonts w:ascii="Times New Roman" w:hAnsi="Times New Roman"/>
          <w:sz w:val="24"/>
          <w:szCs w:val="24"/>
        </w:rPr>
        <w:t xml:space="preserve">        </w:t>
      </w:r>
    </w:p>
    <w:p w:rsidR="007207F2" w:rsidRPr="007207F2" w:rsidRDefault="007207F2" w:rsidP="007207F2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7207F2"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87630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F2">
        <w:rPr>
          <w:rFonts w:ascii="Times New Roman" w:hAnsi="Times New Roman"/>
          <w:sz w:val="20"/>
          <w:szCs w:val="24"/>
        </w:rPr>
        <w:t xml:space="preserve">            </w:t>
      </w:r>
      <w:r w:rsidRPr="007207F2">
        <w:rPr>
          <w:rFonts w:ascii="Times New Roman" w:hAnsi="Times New Roman"/>
          <w:sz w:val="20"/>
          <w:szCs w:val="24"/>
        </w:rPr>
        <w:tab/>
      </w:r>
      <w:r w:rsidRPr="007207F2">
        <w:rPr>
          <w:rFonts w:ascii="Times New Roman" w:hAnsi="Times New Roman"/>
          <w:sz w:val="20"/>
          <w:szCs w:val="24"/>
        </w:rPr>
        <w:tab/>
        <w:t xml:space="preserve">      </w:t>
      </w:r>
    </w:p>
    <w:p w:rsidR="007207F2" w:rsidRPr="007207F2" w:rsidRDefault="009449AA" w:rsidP="007207F2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</w:t>
      </w:r>
      <w:r w:rsidR="007207F2" w:rsidRPr="007207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ЧЕЧИМ</w:t>
      </w:r>
      <w:r w:rsidR="007207F2" w:rsidRPr="007207F2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7207F2" w:rsidRPr="007207F2" w:rsidRDefault="007207F2" w:rsidP="007207F2">
      <w:pPr>
        <w:keepNext/>
        <w:tabs>
          <w:tab w:val="left" w:pos="7020"/>
        </w:tabs>
        <w:spacing w:after="0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7207F2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7207F2" w:rsidRPr="007207F2" w:rsidRDefault="009449AA" w:rsidP="007207F2">
      <w:pPr>
        <w:keepNext/>
        <w:tabs>
          <w:tab w:val="left" w:pos="702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 27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» ноября 2020 года  № 15/4</w:t>
      </w:r>
    </w:p>
    <w:p w:rsidR="007207F2" w:rsidRPr="007207F2" w:rsidRDefault="007207F2" w:rsidP="007207F2">
      <w:pPr>
        <w:keepNext/>
        <w:tabs>
          <w:tab w:val="left" w:pos="702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BD15FC" w:rsidRPr="009C709A" w:rsidRDefault="007207F2" w:rsidP="007207F2">
      <w:pPr>
        <w:keepNext/>
        <w:tabs>
          <w:tab w:val="left" w:pos="7020"/>
        </w:tabs>
        <w:spacing w:after="0" w:line="240" w:lineRule="auto"/>
        <w:jc w:val="center"/>
        <w:outlineLvl w:val="4"/>
        <w:rPr>
          <w:sz w:val="28"/>
          <w:szCs w:val="28"/>
        </w:rPr>
      </w:pPr>
      <w:r w:rsidRPr="007207F2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Pr="007207F2">
        <w:rPr>
          <w:rFonts w:ascii="Times New Roman" w:hAnsi="Times New Roman"/>
          <w:b/>
          <w:bCs/>
          <w:sz w:val="28"/>
          <w:szCs w:val="28"/>
        </w:rPr>
        <w:t>Шыргайта</w:t>
      </w:r>
      <w:proofErr w:type="spellEnd"/>
    </w:p>
    <w:p w:rsidR="001F6086" w:rsidRDefault="001F6086" w:rsidP="001F6086">
      <w:pPr>
        <w:pStyle w:val="ConsPlusTitle"/>
        <w:outlineLvl w:val="0"/>
        <w:rPr>
          <w:sz w:val="28"/>
          <w:szCs w:val="28"/>
        </w:rPr>
      </w:pPr>
      <w:bookmarkStart w:id="0" w:name="_GoBack"/>
      <w:bookmarkEnd w:id="0"/>
    </w:p>
    <w:p w:rsidR="001F6086" w:rsidRDefault="00530BD6" w:rsidP="007207F2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</w:t>
      </w:r>
    </w:p>
    <w:p w:rsidR="001F6086" w:rsidRDefault="00530BD6" w:rsidP="007207F2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3D0390">
        <w:rPr>
          <w:sz w:val="28"/>
          <w:szCs w:val="28"/>
        </w:rPr>
        <w:t xml:space="preserve"> территории</w:t>
      </w:r>
      <w:proofErr w:type="gramEnd"/>
      <w:r w:rsidR="003D0390">
        <w:rPr>
          <w:sz w:val="28"/>
          <w:szCs w:val="28"/>
        </w:rPr>
        <w:t xml:space="preserve">  муниципального образования</w:t>
      </w:r>
    </w:p>
    <w:p w:rsidR="00BD15FC" w:rsidRPr="009C709A" w:rsidRDefault="007207F2" w:rsidP="007207F2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</w:t>
      </w:r>
      <w:r w:rsidR="003D0390">
        <w:rPr>
          <w:sz w:val="28"/>
          <w:szCs w:val="28"/>
        </w:rPr>
        <w:t>сельское</w:t>
      </w:r>
      <w:r w:rsidR="00530BD6">
        <w:rPr>
          <w:sz w:val="28"/>
          <w:szCs w:val="28"/>
        </w:rPr>
        <w:t xml:space="preserve"> посел</w:t>
      </w:r>
      <w:r w:rsidR="003D0390">
        <w:rPr>
          <w:sz w:val="28"/>
          <w:szCs w:val="28"/>
        </w:rPr>
        <w:t>ение</w:t>
      </w:r>
    </w:p>
    <w:p w:rsidR="00BD15FC" w:rsidRPr="00E04ADC" w:rsidRDefault="00BD15FC" w:rsidP="001F6086">
      <w:pPr>
        <w:autoSpaceDE w:val="0"/>
        <w:autoSpaceDN w:val="0"/>
        <w:adjustRightInd w:val="0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7207F2">
        <w:rPr>
          <w:rFonts w:ascii="Times New Roman" w:hAnsi="Times New Roman"/>
          <w:sz w:val="28"/>
          <w:szCs w:val="28"/>
        </w:rPr>
        <w:t xml:space="preserve">», Совет депутатов МО </w:t>
      </w:r>
      <w:proofErr w:type="spellStart"/>
      <w:r w:rsidR="007207F2">
        <w:rPr>
          <w:rFonts w:ascii="Times New Roman" w:hAnsi="Times New Roman"/>
          <w:sz w:val="28"/>
          <w:szCs w:val="28"/>
        </w:rPr>
        <w:t>Шыргайтинское</w:t>
      </w:r>
      <w:proofErr w:type="spellEnd"/>
      <w:r w:rsidR="007207F2">
        <w:rPr>
          <w:rFonts w:ascii="Times New Roman" w:hAnsi="Times New Roman"/>
          <w:sz w:val="28"/>
          <w:szCs w:val="28"/>
        </w:rPr>
        <w:t xml:space="preserve"> </w:t>
      </w:r>
      <w:r w:rsidR="003D0390">
        <w:rPr>
          <w:rFonts w:ascii="Times New Roman" w:hAnsi="Times New Roman"/>
          <w:sz w:val="28"/>
          <w:szCs w:val="28"/>
        </w:rPr>
        <w:t>сельское поселение</w:t>
      </w:r>
      <w:r w:rsidR="00726FFC">
        <w:rPr>
          <w:rFonts w:ascii="Times New Roman" w:hAnsi="Times New Roman"/>
          <w:sz w:val="28"/>
          <w:szCs w:val="28"/>
        </w:rPr>
        <w:t xml:space="preserve"> решил: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 w:rsidR="00A04B64">
        <w:rPr>
          <w:rFonts w:ascii="Times New Roman" w:hAnsi="Times New Roman"/>
          <w:sz w:val="28"/>
          <w:szCs w:val="28"/>
        </w:rPr>
        <w:t>с 1 января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3D0390">
        <w:rPr>
          <w:rFonts w:ascii="Times New Roman" w:hAnsi="Times New Roman"/>
          <w:sz w:val="28"/>
          <w:szCs w:val="28"/>
        </w:rPr>
        <w:t>МО</w:t>
      </w:r>
      <w:r w:rsidR="007207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207F2">
        <w:rPr>
          <w:rFonts w:ascii="Times New Roman" w:hAnsi="Times New Roman"/>
          <w:sz w:val="28"/>
          <w:szCs w:val="28"/>
        </w:rPr>
        <w:t>Шыргайтинское</w:t>
      </w:r>
      <w:proofErr w:type="spellEnd"/>
      <w:r w:rsidR="007207F2">
        <w:rPr>
          <w:rFonts w:ascii="Times New Roman" w:hAnsi="Times New Roman"/>
          <w:sz w:val="28"/>
          <w:szCs w:val="28"/>
        </w:rPr>
        <w:t xml:space="preserve"> </w:t>
      </w:r>
      <w:r w:rsidR="003D0390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="002D530A">
        <w:rPr>
          <w:rFonts w:ascii="Times New Roman" w:hAnsi="Times New Roman"/>
          <w:sz w:val="28"/>
          <w:szCs w:val="28"/>
        </w:rPr>
        <w:t xml:space="preserve"> </w:t>
      </w:r>
      <w:r w:rsidR="003D0390">
        <w:rPr>
          <w:rFonts w:ascii="Times New Roman" w:hAnsi="Times New Roman"/>
          <w:sz w:val="28"/>
          <w:szCs w:val="28"/>
        </w:rPr>
        <w:t>поселение</w:t>
      </w:r>
      <w:r w:rsidR="00BD15FC" w:rsidRPr="00BD15FC">
        <w:rPr>
          <w:rFonts w:ascii="Times New Roman" w:hAnsi="Times New Roman"/>
          <w:sz w:val="28"/>
          <w:szCs w:val="28"/>
        </w:rPr>
        <w:t>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p w:rsidR="001F6086" w:rsidRDefault="001F608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30521D" w:rsidRPr="0030521D" w:rsidTr="00CF67C4">
        <w:trPr>
          <w:trHeight w:val="7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551A56" w:rsidRDefault="007207F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07F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7207F2" w:rsidRDefault="007207F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F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7207F2" w:rsidRDefault="007207F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F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7207F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7207F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-место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355">
              <w:rPr>
                <w:rFonts w:ascii="Times New Roman" w:hAnsi="Times New Roman"/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7207F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0D0181" w:rsidP="000D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 строения или сооружения, площадь каждого из которых</w:t>
            </w:r>
            <w:r w:rsidR="0030521D" w:rsidRPr="0030521D">
              <w:rPr>
                <w:rFonts w:ascii="Times New Roman" w:hAnsi="Times New Roman"/>
                <w:sz w:val="28"/>
                <w:szCs w:val="28"/>
              </w:rPr>
              <w:t xml:space="preserve"> не превышае</w:t>
            </w:r>
            <w:r>
              <w:rPr>
                <w:rFonts w:ascii="Times New Roman" w:hAnsi="Times New Roman"/>
                <w:sz w:val="28"/>
                <w:szCs w:val="28"/>
              </w:rPr>
              <w:t>т 50 квадратных метров и которые расположены на земельных участках для ведения личного подсобного хозяйства</w:t>
            </w:r>
            <w:r w:rsidR="0030521D" w:rsidRPr="0030521D">
              <w:rPr>
                <w:rFonts w:ascii="Times New Roman" w:hAnsi="Times New Roman"/>
                <w:sz w:val="28"/>
                <w:szCs w:val="28"/>
              </w:rPr>
              <w:t>,  огородничества, садоводства или индивиду</w:t>
            </w:r>
            <w:r w:rsidR="00C029A1"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7207F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D2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7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8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FB3AFE" w:rsidRDefault="007207F2" w:rsidP="00D2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23CA" w:rsidRPr="0030521D" w:rsidTr="00720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8B5A4E" w:rsidRDefault="007207F2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23CA" w:rsidRPr="0030521D" w:rsidTr="00720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8B5A4E" w:rsidRDefault="00093E5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8A202C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>. Признать утрат</w:t>
      </w:r>
      <w:r w:rsidR="00CF67C4">
        <w:rPr>
          <w:rFonts w:ascii="Times New Roman" w:hAnsi="Times New Roman"/>
          <w:sz w:val="28"/>
          <w:szCs w:val="28"/>
        </w:rPr>
        <w:t xml:space="preserve">ившим силу </w:t>
      </w:r>
      <w:proofErr w:type="gramStart"/>
      <w:r w:rsidR="00CF67C4">
        <w:rPr>
          <w:rFonts w:ascii="Times New Roman" w:hAnsi="Times New Roman"/>
          <w:sz w:val="28"/>
          <w:szCs w:val="28"/>
        </w:rPr>
        <w:t xml:space="preserve">Решение  </w:t>
      </w:r>
      <w:r w:rsidR="003B1F65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B1F65">
        <w:rPr>
          <w:rFonts w:ascii="Times New Roman" w:hAnsi="Times New Roman"/>
          <w:sz w:val="28"/>
          <w:szCs w:val="28"/>
        </w:rPr>
        <w:t xml:space="preserve"> </w:t>
      </w:r>
      <w:r w:rsidR="008A202C">
        <w:rPr>
          <w:rFonts w:ascii="Times New Roman" w:hAnsi="Times New Roman"/>
          <w:sz w:val="28"/>
          <w:szCs w:val="28"/>
        </w:rPr>
        <w:t xml:space="preserve">Совета депутатов </w:t>
      </w:r>
      <w:r w:rsidR="00CF67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93E54">
        <w:rPr>
          <w:rFonts w:ascii="Times New Roman" w:hAnsi="Times New Roman"/>
          <w:sz w:val="28"/>
          <w:szCs w:val="28"/>
        </w:rPr>
        <w:t>Шыргайтинское</w:t>
      </w:r>
      <w:proofErr w:type="spellEnd"/>
      <w:r w:rsidR="00093E54">
        <w:rPr>
          <w:rFonts w:ascii="Times New Roman" w:hAnsi="Times New Roman"/>
          <w:sz w:val="28"/>
          <w:szCs w:val="28"/>
        </w:rPr>
        <w:t xml:space="preserve"> </w:t>
      </w:r>
      <w:r w:rsidR="00CF67C4">
        <w:rPr>
          <w:rFonts w:ascii="Times New Roman" w:hAnsi="Times New Roman"/>
          <w:sz w:val="28"/>
          <w:szCs w:val="28"/>
        </w:rPr>
        <w:t>с</w:t>
      </w:r>
      <w:r w:rsidR="00D5561E">
        <w:rPr>
          <w:rFonts w:ascii="Times New Roman" w:hAnsi="Times New Roman"/>
          <w:sz w:val="28"/>
          <w:szCs w:val="28"/>
        </w:rPr>
        <w:t>ельское поселение №</w:t>
      </w:r>
      <w:r w:rsidR="00093E54">
        <w:rPr>
          <w:rFonts w:ascii="Times New Roman" w:hAnsi="Times New Roman"/>
          <w:sz w:val="28"/>
          <w:szCs w:val="28"/>
        </w:rPr>
        <w:t xml:space="preserve"> 9/3</w:t>
      </w:r>
      <w:r w:rsidR="00D5561E">
        <w:rPr>
          <w:rFonts w:ascii="Times New Roman" w:hAnsi="Times New Roman"/>
          <w:sz w:val="28"/>
          <w:szCs w:val="28"/>
        </w:rPr>
        <w:t xml:space="preserve"> от </w:t>
      </w:r>
      <w:r w:rsidR="00093E54">
        <w:rPr>
          <w:rFonts w:ascii="Times New Roman" w:hAnsi="Times New Roman"/>
          <w:sz w:val="28"/>
          <w:szCs w:val="28"/>
        </w:rPr>
        <w:t xml:space="preserve">26 ноября 2019 </w:t>
      </w:r>
      <w:r w:rsidR="00CF67C4">
        <w:rPr>
          <w:rFonts w:ascii="Times New Roman" w:hAnsi="Times New Roman"/>
          <w:sz w:val="28"/>
          <w:szCs w:val="28"/>
        </w:rPr>
        <w:t>г</w:t>
      </w:r>
      <w:r w:rsidR="00093E54">
        <w:rPr>
          <w:rFonts w:ascii="Times New Roman" w:hAnsi="Times New Roman"/>
          <w:sz w:val="28"/>
          <w:szCs w:val="28"/>
        </w:rPr>
        <w:t xml:space="preserve">ода </w:t>
      </w:r>
      <w:r w:rsidR="008A202C">
        <w:rPr>
          <w:rFonts w:ascii="Times New Roman" w:hAnsi="Times New Roman"/>
          <w:sz w:val="28"/>
          <w:szCs w:val="28"/>
        </w:rPr>
        <w:t xml:space="preserve"> «О налоге на имущество физическ</w:t>
      </w:r>
      <w:r w:rsidR="00CF67C4">
        <w:rPr>
          <w:rFonts w:ascii="Times New Roman" w:hAnsi="Times New Roman"/>
          <w:sz w:val="28"/>
          <w:szCs w:val="28"/>
        </w:rPr>
        <w:t xml:space="preserve">их лиц на территории муниципального образования </w:t>
      </w:r>
      <w:proofErr w:type="spellStart"/>
      <w:r w:rsidR="00093E54">
        <w:rPr>
          <w:rFonts w:ascii="Times New Roman" w:hAnsi="Times New Roman"/>
          <w:sz w:val="28"/>
          <w:szCs w:val="28"/>
        </w:rPr>
        <w:t>Шыргайтинское</w:t>
      </w:r>
      <w:proofErr w:type="spellEnd"/>
      <w:r w:rsidR="00093E54">
        <w:rPr>
          <w:rFonts w:ascii="Times New Roman" w:hAnsi="Times New Roman"/>
          <w:sz w:val="28"/>
          <w:szCs w:val="28"/>
        </w:rPr>
        <w:t xml:space="preserve"> </w:t>
      </w:r>
      <w:r w:rsidR="00CF67C4">
        <w:rPr>
          <w:rFonts w:ascii="Times New Roman" w:hAnsi="Times New Roman"/>
          <w:sz w:val="28"/>
          <w:szCs w:val="28"/>
        </w:rPr>
        <w:t>сельское поселение</w:t>
      </w:r>
      <w:r w:rsidR="008A202C">
        <w:rPr>
          <w:rFonts w:ascii="Times New Roman" w:hAnsi="Times New Roman"/>
          <w:sz w:val="28"/>
          <w:szCs w:val="28"/>
        </w:rPr>
        <w:t>».</w:t>
      </w:r>
    </w:p>
    <w:p w:rsidR="00D8635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3B1F65" w:rsidRPr="003B1F65" w:rsidRDefault="003B1F65" w:rsidP="003B1F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B1F65">
        <w:rPr>
          <w:rFonts w:ascii="Times New Roman" w:hAnsi="Times New Roman"/>
          <w:sz w:val="28"/>
          <w:szCs w:val="28"/>
        </w:rPr>
        <w:t xml:space="preserve">Обнародовать данное решение согласно Устава МО </w:t>
      </w:r>
      <w:proofErr w:type="spellStart"/>
      <w:r w:rsidRPr="003B1F65">
        <w:rPr>
          <w:rFonts w:ascii="Times New Roman" w:hAnsi="Times New Roman"/>
          <w:sz w:val="28"/>
          <w:szCs w:val="28"/>
        </w:rPr>
        <w:t>Шыргайтинское</w:t>
      </w:r>
      <w:proofErr w:type="spellEnd"/>
      <w:r w:rsidRPr="003B1F6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5CFB" w:rsidRDefault="00A75CF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5CFB" w:rsidRDefault="00A75CF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5CFB" w:rsidRDefault="00A75CF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Шыргайтинское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75CFB" w:rsidRPr="00522941" w:rsidRDefault="00A75CF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Могулчин</w:t>
      </w:r>
      <w:proofErr w:type="spellEnd"/>
    </w:p>
    <w:sectPr w:rsidR="00A75CFB" w:rsidRPr="00522941" w:rsidSect="00A75CFB">
      <w:pgSz w:w="11906" w:h="16838"/>
      <w:pgMar w:top="907" w:right="709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4B"/>
    <w:rsid w:val="00017B6C"/>
    <w:rsid w:val="00053AE4"/>
    <w:rsid w:val="000677E9"/>
    <w:rsid w:val="0007003B"/>
    <w:rsid w:val="00081FD0"/>
    <w:rsid w:val="00093E54"/>
    <w:rsid w:val="000A05D5"/>
    <w:rsid w:val="000D0181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D6867"/>
    <w:rsid w:val="001E34E7"/>
    <w:rsid w:val="001F317D"/>
    <w:rsid w:val="001F6086"/>
    <w:rsid w:val="00212F13"/>
    <w:rsid w:val="00221206"/>
    <w:rsid w:val="0024449A"/>
    <w:rsid w:val="00272200"/>
    <w:rsid w:val="00293051"/>
    <w:rsid w:val="00297A7A"/>
    <w:rsid w:val="002A1CBD"/>
    <w:rsid w:val="002A4108"/>
    <w:rsid w:val="002D530A"/>
    <w:rsid w:val="0030521D"/>
    <w:rsid w:val="00312391"/>
    <w:rsid w:val="0031747B"/>
    <w:rsid w:val="00350660"/>
    <w:rsid w:val="003849DD"/>
    <w:rsid w:val="003966F4"/>
    <w:rsid w:val="003A2B2E"/>
    <w:rsid w:val="003B0560"/>
    <w:rsid w:val="003B1F65"/>
    <w:rsid w:val="003B53A1"/>
    <w:rsid w:val="003D0390"/>
    <w:rsid w:val="00421027"/>
    <w:rsid w:val="00433AB6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872C4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0820"/>
    <w:rsid w:val="006E2B53"/>
    <w:rsid w:val="006E41DC"/>
    <w:rsid w:val="006F0704"/>
    <w:rsid w:val="007102AD"/>
    <w:rsid w:val="00715276"/>
    <w:rsid w:val="007207F2"/>
    <w:rsid w:val="00726FFC"/>
    <w:rsid w:val="00736127"/>
    <w:rsid w:val="0077162A"/>
    <w:rsid w:val="0077635F"/>
    <w:rsid w:val="0078297F"/>
    <w:rsid w:val="007A0535"/>
    <w:rsid w:val="007B0312"/>
    <w:rsid w:val="007C2F63"/>
    <w:rsid w:val="007D6F8C"/>
    <w:rsid w:val="0080715C"/>
    <w:rsid w:val="00826A25"/>
    <w:rsid w:val="008275DA"/>
    <w:rsid w:val="00857099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B4111"/>
    <w:rsid w:val="008B5A4E"/>
    <w:rsid w:val="008C7045"/>
    <w:rsid w:val="008C7D0D"/>
    <w:rsid w:val="008E19C4"/>
    <w:rsid w:val="008F4868"/>
    <w:rsid w:val="00920104"/>
    <w:rsid w:val="00921A75"/>
    <w:rsid w:val="00926139"/>
    <w:rsid w:val="009449AA"/>
    <w:rsid w:val="009450EC"/>
    <w:rsid w:val="00967706"/>
    <w:rsid w:val="009C0FAA"/>
    <w:rsid w:val="009D5B3C"/>
    <w:rsid w:val="009D77F5"/>
    <w:rsid w:val="009F55F7"/>
    <w:rsid w:val="00A04B64"/>
    <w:rsid w:val="00A05565"/>
    <w:rsid w:val="00A10869"/>
    <w:rsid w:val="00A12F2B"/>
    <w:rsid w:val="00A269CE"/>
    <w:rsid w:val="00A634F2"/>
    <w:rsid w:val="00A64EC7"/>
    <w:rsid w:val="00A75CFB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0FDD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E23C6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CF67C4"/>
    <w:rsid w:val="00D06230"/>
    <w:rsid w:val="00D10C53"/>
    <w:rsid w:val="00D259A5"/>
    <w:rsid w:val="00D25C4F"/>
    <w:rsid w:val="00D3795E"/>
    <w:rsid w:val="00D513A3"/>
    <w:rsid w:val="00D5561E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3C03"/>
    <w:rsid w:val="00E526BA"/>
    <w:rsid w:val="00E60AED"/>
    <w:rsid w:val="00E7315E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B3AFE"/>
    <w:rsid w:val="00FC4EE6"/>
    <w:rsid w:val="00FD712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F89DC8"/>
  <w15:docId w15:val="{F0922EFC-FAA0-4D9C-A936-88277D15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D15FC"/>
    <w:rPr>
      <w:sz w:val="22"/>
      <w:szCs w:val="22"/>
    </w:rPr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dst13986</vt:lpwstr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dst9219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2020-11-30T02:49:00Z</cp:lastPrinted>
  <dcterms:created xsi:type="dcterms:W3CDTF">2019-11-26T02:39:00Z</dcterms:created>
  <dcterms:modified xsi:type="dcterms:W3CDTF">2020-11-30T02:54:00Z</dcterms:modified>
</cp:coreProperties>
</file>