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37" w:rsidRDefault="00BC1137" w:rsidP="009B629D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Отчет о результатах оценки </w:t>
      </w:r>
      <w:r w:rsidR="009B629D"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налоговых расходов </w:t>
      </w:r>
    </w:p>
    <w:p w:rsidR="009B629D" w:rsidRPr="00BC1137" w:rsidRDefault="009B629D" w:rsidP="00BC1137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>муниципального образования</w:t>
      </w:r>
      <w:r w:rsidR="00BC1137">
        <w:rPr>
          <w:color w:val="444444"/>
          <w:sz w:val="28"/>
          <w:szCs w:val="28"/>
        </w:rPr>
        <w:t xml:space="preserve"> </w:t>
      </w:r>
      <w:proofErr w:type="spellStart"/>
      <w:r w:rsidR="00B47431">
        <w:rPr>
          <w:color w:val="444444"/>
          <w:sz w:val="28"/>
          <w:szCs w:val="28"/>
        </w:rPr>
        <w:t>Шыргайтин</w:t>
      </w:r>
      <w:r w:rsidR="005F5F9B">
        <w:rPr>
          <w:b/>
          <w:bCs/>
          <w:color w:val="444444"/>
          <w:sz w:val="28"/>
          <w:szCs w:val="28"/>
          <w:bdr w:val="none" w:sz="0" w:space="0" w:color="auto" w:frame="1"/>
        </w:rPr>
        <w:t>ское</w:t>
      </w:r>
      <w:proofErr w:type="spellEnd"/>
      <w:r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сельское поселение </w:t>
      </w:r>
    </w:p>
    <w:p w:rsidR="009B629D" w:rsidRDefault="009B629D" w:rsidP="009B629D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579"/>
        <w:gridCol w:w="3321"/>
        <w:gridCol w:w="2808"/>
      </w:tblGrid>
      <w:tr w:rsidR="009B629D" w:rsidRPr="005E649E" w:rsidTr="00B84543">
        <w:tc>
          <w:tcPr>
            <w:tcW w:w="6537" w:type="dxa"/>
            <w:gridSpan w:val="3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Предоставляемая информация</w:t>
            </w:r>
          </w:p>
        </w:tc>
        <w:tc>
          <w:tcPr>
            <w:tcW w:w="2808" w:type="dxa"/>
          </w:tcPr>
          <w:p w:rsidR="009B629D" w:rsidRPr="005E649E" w:rsidRDefault="00A23B8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Исполнение показателей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9B629D">
            <w:pPr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9B629D" w:rsidRPr="005E649E" w:rsidTr="00B84543">
        <w:tc>
          <w:tcPr>
            <w:tcW w:w="3216" w:type="dxa"/>
            <w:gridSpan w:val="2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Наименование муниципального образования</w:t>
            </w:r>
          </w:p>
        </w:tc>
        <w:tc>
          <w:tcPr>
            <w:tcW w:w="6129" w:type="dxa"/>
            <w:gridSpan w:val="2"/>
          </w:tcPr>
          <w:p w:rsidR="009B629D" w:rsidRPr="005E649E" w:rsidRDefault="009B629D" w:rsidP="00B47431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Администрация муниципального образования</w:t>
            </w:r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B47431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Шыргайтин</w:t>
            </w:r>
            <w:r w:rsidR="005F5F9B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ское</w:t>
            </w:r>
            <w:proofErr w:type="spellEnd"/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сельское поселение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. нормативные характеристики налоговых расходов муниципального образования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5900" w:type="dxa"/>
            <w:gridSpan w:val="2"/>
          </w:tcPr>
          <w:p w:rsidR="009B629D" w:rsidRPr="007121C5" w:rsidRDefault="009B629D" w:rsidP="00BC1137">
            <w:pP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7121C5">
              <w:rPr>
                <w:sz w:val="24"/>
                <w:szCs w:val="24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08" w:type="dxa"/>
          </w:tcPr>
          <w:p w:rsidR="009B629D" w:rsidRPr="00A23B8D" w:rsidRDefault="005F5F9B" w:rsidP="00B47431">
            <w:pP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Решение Совета депутатов № </w:t>
            </w:r>
            <w:r w:rsidR="00B47431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15/3</w:t>
            </w:r>
            <w:r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="00B47431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27</w:t>
            </w:r>
            <w:r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.11.20</w:t>
            </w:r>
            <w:r w:rsidR="00B47431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20</w:t>
            </w:r>
            <w:r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г. "О земельном налоге на территории муниципального образования </w:t>
            </w:r>
            <w:proofErr w:type="spellStart"/>
            <w:r w:rsidR="00B47431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Шыргайтин</w:t>
            </w:r>
            <w:r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ское</w:t>
            </w:r>
            <w:proofErr w:type="spellEnd"/>
            <w:r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сельское поселение "</w:t>
            </w:r>
          </w:p>
        </w:tc>
      </w:tr>
      <w:tr w:rsidR="009B629D" w:rsidRPr="005E649E" w:rsidTr="00B84543">
        <w:trPr>
          <w:trHeight w:val="1455"/>
        </w:trPr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B84543" w:rsidP="00A23B8D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Своевременная и в полном объеме оплата налога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CA5576" w:rsidRDefault="00B47431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Членам добровольной пожарной дружины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A23B8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01.01.2020 г.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A23B8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01.01.2020 г.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CA21D2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Постоянно, до замены новым НПА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7.</w:t>
            </w:r>
          </w:p>
          <w:p w:rsidR="009B629D" w:rsidRPr="00874B43" w:rsidRDefault="009B629D" w:rsidP="00BC1137">
            <w:pPr>
              <w:spacing w:line="360" w:lineRule="atLeast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CA21D2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замены новым НПА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lastRenderedPageBreak/>
              <w:t>III. Целевые характеристики налоговых расходов муниципального образования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B47431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Освобождение от земельного налога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B47431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Физические лица, члены добровольной пожарной дружины</w:t>
            </w:r>
          </w:p>
        </w:tc>
      </w:tr>
      <w:tr w:rsidR="009B629D" w:rsidRPr="005E649E" w:rsidTr="00B84543">
        <w:trPr>
          <w:trHeight w:val="1036"/>
        </w:trPr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B47431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населения в добровольную пожарную дружину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2E217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08" w:type="dxa"/>
            <w:vAlign w:val="bottom"/>
          </w:tcPr>
          <w:p w:rsidR="009B629D" w:rsidRPr="00526802" w:rsidRDefault="00F403C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Освобождение от налога членов </w:t>
            </w:r>
            <w:proofErr w:type="spellStart"/>
            <w:r>
              <w:rPr>
                <w:sz w:val="23"/>
                <w:szCs w:val="23"/>
              </w:rPr>
              <w:t>дпд</w:t>
            </w:r>
            <w:proofErr w:type="spellEnd"/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AE4A8C" w:rsidP="00F403C8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</w:t>
            </w:r>
            <w:r w:rsidR="00F403C8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%)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AE4A8C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Оптимизация бюджетных потоков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t>I</w:t>
            </w: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  <w:lang w:val="en-US"/>
              </w:rPr>
              <w:t>V</w:t>
            </w: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B84543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15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</w:t>
            </w:r>
            <w:proofErr w:type="gramStart"/>
            <w:r w:rsidRPr="00526802">
              <w:rPr>
                <w:sz w:val="23"/>
                <w:szCs w:val="23"/>
              </w:rPr>
              <w:t>.р</w:t>
            </w:r>
            <w:proofErr w:type="gramEnd"/>
            <w:r w:rsidRPr="00526802">
              <w:rPr>
                <w:sz w:val="23"/>
                <w:szCs w:val="23"/>
              </w:rPr>
              <w:t>ублей)</w:t>
            </w:r>
          </w:p>
        </w:tc>
        <w:tc>
          <w:tcPr>
            <w:tcW w:w="2808" w:type="dxa"/>
            <w:vAlign w:val="bottom"/>
          </w:tcPr>
          <w:p w:rsidR="009B629D" w:rsidRPr="00526802" w:rsidRDefault="00862E41" w:rsidP="00F403C8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B84543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16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(тыс.рублей)</w:t>
            </w:r>
          </w:p>
        </w:tc>
        <w:tc>
          <w:tcPr>
            <w:tcW w:w="2808" w:type="dxa"/>
            <w:vAlign w:val="bottom"/>
          </w:tcPr>
          <w:p w:rsidR="009B629D" w:rsidRPr="00526802" w:rsidRDefault="00842B83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B84543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17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862E41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AC20A6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20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60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Результат оценки эффективности налогового расхода</w:t>
            </w:r>
          </w:p>
        </w:tc>
        <w:tc>
          <w:tcPr>
            <w:tcW w:w="2808" w:type="dxa"/>
            <w:vAlign w:val="bottom"/>
          </w:tcPr>
          <w:p w:rsidR="009B629D" w:rsidRPr="00526802" w:rsidRDefault="00862E41" w:rsidP="00BC1137">
            <w:pPr>
              <w:spacing w:line="60" w:lineRule="atLeas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эффективно</w:t>
            </w:r>
          </w:p>
        </w:tc>
      </w:tr>
    </w:tbl>
    <w:p w:rsidR="00757250" w:rsidRDefault="00757250"/>
    <w:sectPr w:rsidR="00757250" w:rsidSect="00842B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B6F"/>
    <w:multiLevelType w:val="hybridMultilevel"/>
    <w:tmpl w:val="ADEE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1EA"/>
    <w:rsid w:val="00004F60"/>
    <w:rsid w:val="00015643"/>
    <w:rsid w:val="000301FF"/>
    <w:rsid w:val="00032762"/>
    <w:rsid w:val="00033A45"/>
    <w:rsid w:val="00044BC8"/>
    <w:rsid w:val="00056DF9"/>
    <w:rsid w:val="00075932"/>
    <w:rsid w:val="0008045D"/>
    <w:rsid w:val="000824A5"/>
    <w:rsid w:val="00085580"/>
    <w:rsid w:val="00091BA7"/>
    <w:rsid w:val="000A17D6"/>
    <w:rsid w:val="000D6BC5"/>
    <w:rsid w:val="000F274B"/>
    <w:rsid w:val="000F4603"/>
    <w:rsid w:val="000F5F03"/>
    <w:rsid w:val="00106975"/>
    <w:rsid w:val="001122E4"/>
    <w:rsid w:val="00114B73"/>
    <w:rsid w:val="001370E0"/>
    <w:rsid w:val="001408E8"/>
    <w:rsid w:val="0014374E"/>
    <w:rsid w:val="00147778"/>
    <w:rsid w:val="00153BC1"/>
    <w:rsid w:val="00164743"/>
    <w:rsid w:val="00166D97"/>
    <w:rsid w:val="00174882"/>
    <w:rsid w:val="00183A80"/>
    <w:rsid w:val="001866F2"/>
    <w:rsid w:val="00193187"/>
    <w:rsid w:val="001974CC"/>
    <w:rsid w:val="001A69BF"/>
    <w:rsid w:val="001B04AA"/>
    <w:rsid w:val="001B3BBE"/>
    <w:rsid w:val="001B6419"/>
    <w:rsid w:val="001C4D26"/>
    <w:rsid w:val="001D73A6"/>
    <w:rsid w:val="001E3F61"/>
    <w:rsid w:val="001F2D1A"/>
    <w:rsid w:val="00210C92"/>
    <w:rsid w:val="00211A4D"/>
    <w:rsid w:val="00217ECB"/>
    <w:rsid w:val="00237810"/>
    <w:rsid w:val="002432B4"/>
    <w:rsid w:val="00250F1E"/>
    <w:rsid w:val="00264180"/>
    <w:rsid w:val="00266D56"/>
    <w:rsid w:val="00273D6C"/>
    <w:rsid w:val="002843F5"/>
    <w:rsid w:val="00284D24"/>
    <w:rsid w:val="0029629C"/>
    <w:rsid w:val="002A7A01"/>
    <w:rsid w:val="002B56B8"/>
    <w:rsid w:val="002E217D"/>
    <w:rsid w:val="002E6CBD"/>
    <w:rsid w:val="002F1D05"/>
    <w:rsid w:val="002F6267"/>
    <w:rsid w:val="002F70B9"/>
    <w:rsid w:val="00303163"/>
    <w:rsid w:val="00305C93"/>
    <w:rsid w:val="00320169"/>
    <w:rsid w:val="00332FB7"/>
    <w:rsid w:val="003403A8"/>
    <w:rsid w:val="0035207E"/>
    <w:rsid w:val="00353989"/>
    <w:rsid w:val="003646FC"/>
    <w:rsid w:val="00371942"/>
    <w:rsid w:val="00386197"/>
    <w:rsid w:val="00386964"/>
    <w:rsid w:val="00392C62"/>
    <w:rsid w:val="003B1653"/>
    <w:rsid w:val="003C7CDA"/>
    <w:rsid w:val="003E6A75"/>
    <w:rsid w:val="003F0603"/>
    <w:rsid w:val="0040121A"/>
    <w:rsid w:val="004141FE"/>
    <w:rsid w:val="004153EC"/>
    <w:rsid w:val="00421D06"/>
    <w:rsid w:val="00433B5D"/>
    <w:rsid w:val="004474BA"/>
    <w:rsid w:val="004544AF"/>
    <w:rsid w:val="00456E29"/>
    <w:rsid w:val="00464DF7"/>
    <w:rsid w:val="00471600"/>
    <w:rsid w:val="00477793"/>
    <w:rsid w:val="004A1C7E"/>
    <w:rsid w:val="004B257B"/>
    <w:rsid w:val="004C5BB0"/>
    <w:rsid w:val="004C5E06"/>
    <w:rsid w:val="004D16B8"/>
    <w:rsid w:val="004E48A1"/>
    <w:rsid w:val="004F32EC"/>
    <w:rsid w:val="00513A5E"/>
    <w:rsid w:val="00524289"/>
    <w:rsid w:val="00531076"/>
    <w:rsid w:val="00534AE2"/>
    <w:rsid w:val="0054785F"/>
    <w:rsid w:val="00554F8D"/>
    <w:rsid w:val="00566A0A"/>
    <w:rsid w:val="00584052"/>
    <w:rsid w:val="00597032"/>
    <w:rsid w:val="005973ED"/>
    <w:rsid w:val="005B47A5"/>
    <w:rsid w:val="005C69D5"/>
    <w:rsid w:val="005D50DB"/>
    <w:rsid w:val="005E0730"/>
    <w:rsid w:val="005E501D"/>
    <w:rsid w:val="005E692A"/>
    <w:rsid w:val="005F5F9B"/>
    <w:rsid w:val="00613EC4"/>
    <w:rsid w:val="00630625"/>
    <w:rsid w:val="00640215"/>
    <w:rsid w:val="00651099"/>
    <w:rsid w:val="00657257"/>
    <w:rsid w:val="006606AA"/>
    <w:rsid w:val="00664F3E"/>
    <w:rsid w:val="006B5940"/>
    <w:rsid w:val="006E5CA9"/>
    <w:rsid w:val="00705672"/>
    <w:rsid w:val="007152AD"/>
    <w:rsid w:val="00724C86"/>
    <w:rsid w:val="0073456D"/>
    <w:rsid w:val="0073748F"/>
    <w:rsid w:val="0074572D"/>
    <w:rsid w:val="007503A5"/>
    <w:rsid w:val="00753572"/>
    <w:rsid w:val="00757250"/>
    <w:rsid w:val="00785DD2"/>
    <w:rsid w:val="007A2E0C"/>
    <w:rsid w:val="007C112C"/>
    <w:rsid w:val="007E1250"/>
    <w:rsid w:val="007E6A09"/>
    <w:rsid w:val="007E6B78"/>
    <w:rsid w:val="007E6CE8"/>
    <w:rsid w:val="007F1861"/>
    <w:rsid w:val="007F7237"/>
    <w:rsid w:val="008048A4"/>
    <w:rsid w:val="008148B9"/>
    <w:rsid w:val="00816D95"/>
    <w:rsid w:val="008232BE"/>
    <w:rsid w:val="008233FB"/>
    <w:rsid w:val="00823B2B"/>
    <w:rsid w:val="00825135"/>
    <w:rsid w:val="008254CF"/>
    <w:rsid w:val="00842B83"/>
    <w:rsid w:val="008471A2"/>
    <w:rsid w:val="0085518B"/>
    <w:rsid w:val="00862E41"/>
    <w:rsid w:val="0086583D"/>
    <w:rsid w:val="00892A06"/>
    <w:rsid w:val="00895229"/>
    <w:rsid w:val="008A2650"/>
    <w:rsid w:val="008A2895"/>
    <w:rsid w:val="008D46DE"/>
    <w:rsid w:val="008E0C62"/>
    <w:rsid w:val="008E426E"/>
    <w:rsid w:val="008E583F"/>
    <w:rsid w:val="008E69A3"/>
    <w:rsid w:val="00911637"/>
    <w:rsid w:val="00923767"/>
    <w:rsid w:val="00945AA9"/>
    <w:rsid w:val="009606A8"/>
    <w:rsid w:val="00986F09"/>
    <w:rsid w:val="00993987"/>
    <w:rsid w:val="00996D9D"/>
    <w:rsid w:val="00997BFB"/>
    <w:rsid w:val="00997E91"/>
    <w:rsid w:val="009A60F1"/>
    <w:rsid w:val="009B5BC6"/>
    <w:rsid w:val="009B629D"/>
    <w:rsid w:val="009E0D55"/>
    <w:rsid w:val="009F50B7"/>
    <w:rsid w:val="009F51CE"/>
    <w:rsid w:val="009F55EB"/>
    <w:rsid w:val="009F75F4"/>
    <w:rsid w:val="00A10DDB"/>
    <w:rsid w:val="00A23B8D"/>
    <w:rsid w:val="00A34830"/>
    <w:rsid w:val="00A37027"/>
    <w:rsid w:val="00A45CF5"/>
    <w:rsid w:val="00A46778"/>
    <w:rsid w:val="00A47742"/>
    <w:rsid w:val="00A60027"/>
    <w:rsid w:val="00A60494"/>
    <w:rsid w:val="00A75DA5"/>
    <w:rsid w:val="00A82C71"/>
    <w:rsid w:val="00A8320F"/>
    <w:rsid w:val="00A834F3"/>
    <w:rsid w:val="00AC1B69"/>
    <w:rsid w:val="00AC20A6"/>
    <w:rsid w:val="00AC5629"/>
    <w:rsid w:val="00AC5E7E"/>
    <w:rsid w:val="00AD4244"/>
    <w:rsid w:val="00AD78A0"/>
    <w:rsid w:val="00AE4A8C"/>
    <w:rsid w:val="00AF113C"/>
    <w:rsid w:val="00AF177F"/>
    <w:rsid w:val="00B12645"/>
    <w:rsid w:val="00B17C82"/>
    <w:rsid w:val="00B206E1"/>
    <w:rsid w:val="00B273C7"/>
    <w:rsid w:val="00B33EE2"/>
    <w:rsid w:val="00B47431"/>
    <w:rsid w:val="00B47FF2"/>
    <w:rsid w:val="00B56C99"/>
    <w:rsid w:val="00B677ED"/>
    <w:rsid w:val="00B84543"/>
    <w:rsid w:val="00BA53A4"/>
    <w:rsid w:val="00BC1137"/>
    <w:rsid w:val="00BC25F6"/>
    <w:rsid w:val="00BC51EA"/>
    <w:rsid w:val="00BD0B05"/>
    <w:rsid w:val="00BE0DE5"/>
    <w:rsid w:val="00BF0EAF"/>
    <w:rsid w:val="00BF3C56"/>
    <w:rsid w:val="00BF5E6E"/>
    <w:rsid w:val="00C24ABE"/>
    <w:rsid w:val="00C3635D"/>
    <w:rsid w:val="00C37725"/>
    <w:rsid w:val="00C57714"/>
    <w:rsid w:val="00C620D9"/>
    <w:rsid w:val="00C62A85"/>
    <w:rsid w:val="00C64CC6"/>
    <w:rsid w:val="00C65673"/>
    <w:rsid w:val="00C66799"/>
    <w:rsid w:val="00C67A15"/>
    <w:rsid w:val="00C742D9"/>
    <w:rsid w:val="00C76B5D"/>
    <w:rsid w:val="00CA21D2"/>
    <w:rsid w:val="00CA5576"/>
    <w:rsid w:val="00CE30F2"/>
    <w:rsid w:val="00CE613D"/>
    <w:rsid w:val="00CF1E0D"/>
    <w:rsid w:val="00D001D6"/>
    <w:rsid w:val="00D0128C"/>
    <w:rsid w:val="00D055E6"/>
    <w:rsid w:val="00D22218"/>
    <w:rsid w:val="00D24794"/>
    <w:rsid w:val="00D41C7A"/>
    <w:rsid w:val="00D66DD9"/>
    <w:rsid w:val="00D765DE"/>
    <w:rsid w:val="00D924C6"/>
    <w:rsid w:val="00D92AE8"/>
    <w:rsid w:val="00D94523"/>
    <w:rsid w:val="00DB4F20"/>
    <w:rsid w:val="00DB5428"/>
    <w:rsid w:val="00DC44F7"/>
    <w:rsid w:val="00DC533F"/>
    <w:rsid w:val="00DE1318"/>
    <w:rsid w:val="00E063F2"/>
    <w:rsid w:val="00E12C05"/>
    <w:rsid w:val="00E16622"/>
    <w:rsid w:val="00E31732"/>
    <w:rsid w:val="00E34C99"/>
    <w:rsid w:val="00E54C55"/>
    <w:rsid w:val="00E57BFE"/>
    <w:rsid w:val="00E62FC6"/>
    <w:rsid w:val="00E63ED7"/>
    <w:rsid w:val="00E640D9"/>
    <w:rsid w:val="00E6499B"/>
    <w:rsid w:val="00E944C2"/>
    <w:rsid w:val="00E97E48"/>
    <w:rsid w:val="00EA3F1E"/>
    <w:rsid w:val="00EA4F6C"/>
    <w:rsid w:val="00ED35BD"/>
    <w:rsid w:val="00ED7768"/>
    <w:rsid w:val="00EF7202"/>
    <w:rsid w:val="00F05C1A"/>
    <w:rsid w:val="00F1480B"/>
    <w:rsid w:val="00F20324"/>
    <w:rsid w:val="00F211C1"/>
    <w:rsid w:val="00F36934"/>
    <w:rsid w:val="00F403C8"/>
    <w:rsid w:val="00F715A0"/>
    <w:rsid w:val="00F81BB2"/>
    <w:rsid w:val="00F9115A"/>
    <w:rsid w:val="00FB082D"/>
    <w:rsid w:val="00FB361E"/>
    <w:rsid w:val="00FC30DA"/>
    <w:rsid w:val="00FD1709"/>
    <w:rsid w:val="00FD2CD0"/>
    <w:rsid w:val="00FD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Черга</dc:creator>
  <cp:lastModifiedBy>шыргайта</cp:lastModifiedBy>
  <cp:revision>5</cp:revision>
  <dcterms:created xsi:type="dcterms:W3CDTF">2022-08-03T10:22:00Z</dcterms:created>
  <dcterms:modified xsi:type="dcterms:W3CDTF">2023-02-10T05:42:00Z</dcterms:modified>
</cp:coreProperties>
</file>